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7C3" w:rsidRPr="007F587A" w:rsidRDefault="00EB47C3" w:rsidP="00EB47C3">
      <w:pPr>
        <w:rPr>
          <w:rFonts w:ascii="Times New Roman" w:eastAsia="Calibri" w:hAnsi="Times New Roman" w:cs="Times New Roman"/>
          <w:sz w:val="24"/>
          <w:szCs w:val="24"/>
        </w:rPr>
      </w:pPr>
    </w:p>
    <w:p w:rsidR="00EB47C3" w:rsidRPr="007F587A" w:rsidRDefault="00F26980" w:rsidP="00EB47C3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</w:t>
      </w:r>
      <w:r w:rsidR="00EB47C3" w:rsidRPr="007F587A">
        <w:rPr>
          <w:rFonts w:ascii="Times New Roman" w:eastAsia="Calibri" w:hAnsi="Times New Roman" w:cs="Times New Roman"/>
          <w:b/>
          <w:sz w:val="24"/>
          <w:szCs w:val="24"/>
        </w:rPr>
        <w:t>Образовательный минимум</w:t>
      </w:r>
    </w:p>
    <w:tbl>
      <w:tblPr>
        <w:tblStyle w:val="1"/>
        <w:tblpPr w:leftFromText="180" w:rightFromText="180" w:vertAnchor="text" w:horzAnchor="page" w:tblpX="3313" w:tblpY="113"/>
        <w:tblW w:w="6034" w:type="dxa"/>
        <w:tblLook w:val="04A0" w:firstRow="1" w:lastRow="0" w:firstColumn="1" w:lastColumn="0" w:noHBand="0" w:noVBand="1"/>
      </w:tblPr>
      <w:tblGrid>
        <w:gridCol w:w="3017"/>
        <w:gridCol w:w="3017"/>
      </w:tblGrid>
      <w:tr w:rsidR="00F26980" w:rsidRPr="007F587A" w:rsidTr="00F26980">
        <w:trPr>
          <w:trHeight w:val="260"/>
        </w:trPr>
        <w:tc>
          <w:tcPr>
            <w:tcW w:w="3017" w:type="dxa"/>
          </w:tcPr>
          <w:p w:rsidR="00F26980" w:rsidRPr="007F587A" w:rsidRDefault="00F26980" w:rsidP="00F2698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Четверть</w:t>
            </w:r>
          </w:p>
        </w:tc>
        <w:tc>
          <w:tcPr>
            <w:tcW w:w="3017" w:type="dxa"/>
          </w:tcPr>
          <w:p w:rsidR="00F26980" w:rsidRPr="007F587A" w:rsidRDefault="00F26980" w:rsidP="00F2698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F26980" w:rsidRPr="007F587A" w:rsidTr="00F26980">
        <w:trPr>
          <w:trHeight w:val="245"/>
        </w:trPr>
        <w:tc>
          <w:tcPr>
            <w:tcW w:w="3017" w:type="dxa"/>
          </w:tcPr>
          <w:p w:rsidR="00F26980" w:rsidRPr="007F587A" w:rsidRDefault="00F26980" w:rsidP="00F2698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017" w:type="dxa"/>
          </w:tcPr>
          <w:p w:rsidR="00F26980" w:rsidRPr="007F587A" w:rsidRDefault="00F26980" w:rsidP="00F2698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F26980" w:rsidRPr="007F587A" w:rsidTr="00F26980">
        <w:trPr>
          <w:trHeight w:val="260"/>
        </w:trPr>
        <w:tc>
          <w:tcPr>
            <w:tcW w:w="3017" w:type="dxa"/>
          </w:tcPr>
          <w:p w:rsidR="00F26980" w:rsidRPr="007F587A" w:rsidRDefault="00F26980" w:rsidP="00F2698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3017" w:type="dxa"/>
          </w:tcPr>
          <w:p w:rsidR="00F26980" w:rsidRPr="007F587A" w:rsidRDefault="00F26980" w:rsidP="00327CE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  <w:r w:rsidR="00327CE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EB47C3" w:rsidRPr="007F587A" w:rsidRDefault="00EB47C3" w:rsidP="00EB47C3">
      <w:pPr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"/>
        <w:tblpPr w:leftFromText="180" w:rightFromText="180" w:vertAnchor="text" w:horzAnchor="margin" w:tblpY="885"/>
        <w:tblW w:w="5000" w:type="pct"/>
        <w:tblLook w:val="04A0" w:firstRow="1" w:lastRow="0" w:firstColumn="1" w:lastColumn="0" w:noHBand="0" w:noVBand="1"/>
      </w:tblPr>
      <w:tblGrid>
        <w:gridCol w:w="3369"/>
        <w:gridCol w:w="6202"/>
      </w:tblGrid>
      <w:tr w:rsidR="0054765D" w:rsidRPr="007F587A" w:rsidTr="00F26980">
        <w:tc>
          <w:tcPr>
            <w:tcW w:w="1760" w:type="pct"/>
            <w:shd w:val="clear" w:color="auto" w:fill="auto"/>
          </w:tcPr>
          <w:p w:rsidR="0054765D" w:rsidRPr="007F587A" w:rsidRDefault="00727EAA" w:rsidP="00F269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EAA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Социально-философский роман</w:t>
            </w:r>
          </w:p>
        </w:tc>
        <w:tc>
          <w:tcPr>
            <w:tcW w:w="3240" w:type="pct"/>
            <w:shd w:val="clear" w:color="auto" w:fill="auto"/>
          </w:tcPr>
          <w:p w:rsidR="0054765D" w:rsidRPr="007F587A" w:rsidRDefault="00727EAA" w:rsidP="00F26980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27EAA">
              <w:rPr>
                <w:rFonts w:ascii="Times New Roman" w:eastAsia="Calibri" w:hAnsi="Times New Roman" w:cs="Times New Roman"/>
                <w:sz w:val="24"/>
                <w:szCs w:val="24"/>
              </w:rPr>
              <w:t>произведение, затрагивающее как социальные (общественные) проблемы, так и проблемы философского характера</w:t>
            </w:r>
          </w:p>
        </w:tc>
      </w:tr>
      <w:tr w:rsidR="0054765D" w:rsidRPr="007F587A" w:rsidTr="00F26980">
        <w:tc>
          <w:tcPr>
            <w:tcW w:w="1760" w:type="pct"/>
            <w:shd w:val="clear" w:color="auto" w:fill="auto"/>
          </w:tcPr>
          <w:p w:rsidR="0054765D" w:rsidRPr="007F587A" w:rsidRDefault="00727EAA" w:rsidP="00F269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EAA">
              <w:rPr>
                <w:rFonts w:ascii="Times New Roman" w:eastAsia="Calibri" w:hAnsi="Times New Roman" w:cs="Times New Roman"/>
                <w:sz w:val="24"/>
                <w:szCs w:val="24"/>
              </w:rPr>
              <w:t>Ф. М. Достоевский. «Преступление и наказание».</w:t>
            </w:r>
          </w:p>
        </w:tc>
        <w:tc>
          <w:tcPr>
            <w:tcW w:w="3240" w:type="pct"/>
            <w:shd w:val="clear" w:color="auto" w:fill="auto"/>
          </w:tcPr>
          <w:p w:rsidR="00727EAA" w:rsidRPr="00727EAA" w:rsidRDefault="00727EAA" w:rsidP="00727E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E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Роман Достоевского определяют одновременно как социально-психологический и как философский. Это новый этап развития романного жанра в эпоху реализма. Все сюжеты изображены реалистично, четко обозначен социально-бытовой фон, подробно воссоздается внутренний мир героев, их глубинно-психологические конфликты. </w:t>
            </w:r>
          </w:p>
          <w:p w:rsidR="00727EAA" w:rsidRPr="00727EAA" w:rsidRDefault="00727EAA" w:rsidP="00727E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E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Перед читателями - психологические типы. Герои Достоевского испытывают душевные страдания. Можно сказать, что они в значительной мере обусловлены бытовыми условиями или явлениями. </w:t>
            </w:r>
          </w:p>
          <w:p w:rsidR="00727EAA" w:rsidRPr="00727EAA" w:rsidRDefault="00727EAA" w:rsidP="00727E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E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 сила писателя является в том, что обнажает скрытые психологические мотивы, рождающиеся в страданиях и внутренних сомнениях его героев. Показывает процесс пробуждения человеческой личности идеей, теорией и путь раскаяния, который ведет к спасению человеческой души. </w:t>
            </w:r>
          </w:p>
          <w:p w:rsidR="00727EAA" w:rsidRPr="00727EAA" w:rsidRDefault="00727EAA" w:rsidP="00727E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E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Роман «Преступление и наказание», по мнению литературоведа М.М. Бахтина, </w:t>
            </w:r>
            <w:proofErr w:type="spellStart"/>
            <w:r w:rsidRPr="00727EAA">
              <w:rPr>
                <w:rFonts w:ascii="Times New Roman" w:eastAsia="Calibri" w:hAnsi="Times New Roman" w:cs="Times New Roman"/>
                <w:sz w:val="24"/>
                <w:szCs w:val="24"/>
              </w:rPr>
              <w:t>полифоничен</w:t>
            </w:r>
            <w:proofErr w:type="spellEnd"/>
            <w:r w:rsidRPr="00727E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(«многоголосен»). Это равноправие голосов героев и автора, постоянный диалог этих героев. </w:t>
            </w:r>
          </w:p>
          <w:p w:rsidR="00727EAA" w:rsidRPr="00727EAA" w:rsidRDefault="00727EAA" w:rsidP="00727E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7EAA" w:rsidRPr="00727EAA" w:rsidRDefault="00727EAA" w:rsidP="00727E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E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Главное действующее лицо романа, Родион Раскольников, создает собственную теорию нравственности. В ней он пытается объяснить явления окружающего мира. После длительных размышлений он, в конце концов, приходит к выводу: все человечество можно разделить на две «группы». Первая – это большинство. К ней относятся простые люди, «твари дрожащие». Они составляют «материал» общечеловеческой истории. А вторая «группа» — это «сильные люди», которые «обладают правом» совершать все, что им придет в голову. Основной критерий, по которому Раскольников разграничивал принадлежность к тому или иному типу – это их отношение к нравственности. Сильный человек не должен, по мнению главного героя, ограничивать себя какими-либо нравственными рамками. Именно это и дает им право совершать великие дела. В конце концов, герой решает проверить себя – получится ли преступить нравственный </w:t>
            </w:r>
            <w:r w:rsidRPr="00727EA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закон, или нет? По мнению Раскольникова, результаты показали бы, принадлежит ли он к избранным. Поэтому он и решает совершить страшный поступок, который, по его мнению, помог бы проверить свои силы. </w:t>
            </w:r>
          </w:p>
          <w:p w:rsidR="0054765D" w:rsidRPr="007F587A" w:rsidRDefault="00727EAA" w:rsidP="00727E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E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Автор показывает, как идея преступления зарождается в душе человека, как борется с нею душа, как человек, допустивший в себе злую мысль, почти </w:t>
            </w:r>
            <w:proofErr w:type="gramStart"/>
            <w:r w:rsidRPr="00727EAA">
              <w:rPr>
                <w:rFonts w:ascii="Times New Roman" w:eastAsia="Calibri" w:hAnsi="Times New Roman" w:cs="Times New Roman"/>
                <w:sz w:val="24"/>
                <w:szCs w:val="24"/>
              </w:rPr>
              <w:t>лишается</w:t>
            </w:r>
            <w:proofErr w:type="gramEnd"/>
            <w:r w:rsidRPr="00727E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наконец воли и разума и слепо повинуется ей, как он механически совершает преступление, долго созревавшее в нем.</w:t>
            </w:r>
          </w:p>
        </w:tc>
      </w:tr>
      <w:tr w:rsidR="0054765D" w:rsidRPr="007F587A" w:rsidTr="00F26980">
        <w:tc>
          <w:tcPr>
            <w:tcW w:w="1760" w:type="pct"/>
            <w:shd w:val="clear" w:color="auto" w:fill="auto"/>
          </w:tcPr>
          <w:p w:rsidR="0054765D" w:rsidRPr="007F587A" w:rsidRDefault="00692B75" w:rsidP="00F269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Н.С.Лесков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Творчество</w:t>
            </w:r>
          </w:p>
        </w:tc>
        <w:tc>
          <w:tcPr>
            <w:tcW w:w="3240" w:type="pct"/>
            <w:shd w:val="clear" w:color="auto" w:fill="auto"/>
          </w:tcPr>
          <w:p w:rsidR="0054765D" w:rsidRPr="007F587A" w:rsidRDefault="00692B75" w:rsidP="00692B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692B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Повесть «Очарованный странник».  Образ Ивана </w:t>
            </w:r>
            <w:proofErr w:type="spellStart"/>
            <w:r w:rsidRPr="00692B75">
              <w:rPr>
                <w:rFonts w:ascii="Times New Roman" w:eastAsia="Calibri" w:hAnsi="Times New Roman" w:cs="Times New Roman"/>
                <w:sz w:val="24"/>
                <w:szCs w:val="24"/>
              </w:rPr>
              <w:t>Флягина</w:t>
            </w:r>
            <w:proofErr w:type="spellEnd"/>
            <w:r w:rsidRPr="00692B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национальный колорит повести. «</w:t>
            </w:r>
            <w:proofErr w:type="spellStart"/>
            <w:r w:rsidRPr="00692B75">
              <w:rPr>
                <w:rFonts w:ascii="Times New Roman" w:eastAsia="Calibri" w:hAnsi="Times New Roman" w:cs="Times New Roman"/>
                <w:sz w:val="24"/>
                <w:szCs w:val="24"/>
              </w:rPr>
              <w:t>Очарованность</w:t>
            </w:r>
            <w:proofErr w:type="spellEnd"/>
            <w:r w:rsidRPr="00692B75">
              <w:rPr>
                <w:rFonts w:ascii="Times New Roman" w:eastAsia="Calibri" w:hAnsi="Times New Roman" w:cs="Times New Roman"/>
                <w:sz w:val="24"/>
                <w:szCs w:val="24"/>
              </w:rPr>
              <w:t>» героя, его богатырство, духовная восприимчивость и стремление к подвигам. Соединение святости и греховности, наивности и душевной глубины в русском национальном характере</w:t>
            </w:r>
          </w:p>
        </w:tc>
      </w:tr>
      <w:tr w:rsidR="0054765D" w:rsidRPr="007F587A" w:rsidTr="00F26980">
        <w:trPr>
          <w:trHeight w:val="877"/>
        </w:trPr>
        <w:tc>
          <w:tcPr>
            <w:tcW w:w="1760" w:type="pct"/>
          </w:tcPr>
          <w:p w:rsidR="0054765D" w:rsidRPr="007F587A" w:rsidRDefault="00692B75" w:rsidP="00F269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Н.А. Некрасов «Кому на Руси жить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хорошо»</w:t>
            </w:r>
            <w:proofErr w:type="gramStart"/>
            <w:r w:rsidR="00C831C6">
              <w:rPr>
                <w:rFonts w:ascii="Times New Roman" w:eastAsia="Calibri" w:hAnsi="Times New Roman" w:cs="Times New Roman"/>
                <w:sz w:val="24"/>
                <w:szCs w:val="24"/>
              </w:rPr>
              <w:t>.Л</w:t>
            </w:r>
            <w:proofErr w:type="gramEnd"/>
            <w:r w:rsidR="00C831C6">
              <w:rPr>
                <w:rFonts w:ascii="Times New Roman" w:eastAsia="Calibri" w:hAnsi="Times New Roman" w:cs="Times New Roman"/>
                <w:sz w:val="24"/>
                <w:szCs w:val="24"/>
              </w:rPr>
              <w:t>ирика</w:t>
            </w:r>
            <w:proofErr w:type="spellEnd"/>
          </w:p>
        </w:tc>
        <w:tc>
          <w:tcPr>
            <w:tcW w:w="3240" w:type="pct"/>
            <w:shd w:val="clear" w:color="auto" w:fill="auto"/>
          </w:tcPr>
          <w:p w:rsidR="00C831C6" w:rsidRPr="00C831C6" w:rsidRDefault="00C831C6" w:rsidP="00C831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831C6">
              <w:rPr>
                <w:rFonts w:ascii="Times New Roman" w:eastAsia="Calibri" w:hAnsi="Times New Roman" w:cs="Times New Roman"/>
                <w:sz w:val="24"/>
                <w:szCs w:val="24"/>
              </w:rPr>
              <w:t>Н.А.Некрасов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831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Жизнь и творчество. «Муза мести и печали» как поэтическая эмблема Некрасова-лирика. Судьбы простых людей и общенациональная идея в лирике Н.А. Некрасова разных лет. Лирический эпос как форма объективного изображения народной жизни в творчестве поэта. Гражданские мотивы в некрасовской лирике.</w:t>
            </w:r>
            <w:proofErr w:type="gramStart"/>
            <w:r w:rsidRPr="00C831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C831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Стихотворения «В дороге», «Вчерашний день, часу шестом…», «Мы с тобой бестолковые люди…» «Поэт и гражданин» ,«Пророк»,</w:t>
            </w:r>
          </w:p>
          <w:p w:rsidR="0054765D" w:rsidRPr="007F587A" w:rsidRDefault="00C831C6" w:rsidP="00C831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831C6">
              <w:rPr>
                <w:rFonts w:ascii="Times New Roman" w:eastAsia="Calibri" w:hAnsi="Times New Roman" w:cs="Times New Roman"/>
                <w:sz w:val="24"/>
                <w:szCs w:val="24"/>
              </w:rPr>
              <w:t>Поэма «Кому на Руси жить хорошо». История создания поэмы, сюжет, жанровое своеобразие поэмы, её фольклорная основа. Русска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 жизнь в изображении Некрасова. </w:t>
            </w:r>
            <w:r w:rsidRPr="00C831C6">
              <w:rPr>
                <w:rFonts w:ascii="Times New Roman" w:eastAsia="Calibri" w:hAnsi="Times New Roman" w:cs="Times New Roman"/>
                <w:sz w:val="24"/>
                <w:szCs w:val="24"/>
              </w:rPr>
              <w:t>Система образов поэмы.  Образы правдоискателей и «народного 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аступника» Гриши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Добросклонова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C831C6">
              <w:rPr>
                <w:rFonts w:ascii="Times New Roman" w:eastAsia="Calibri" w:hAnsi="Times New Roman" w:cs="Times New Roman"/>
                <w:sz w:val="24"/>
                <w:szCs w:val="24"/>
              </w:rPr>
              <w:t>Тема женской доли в поэме. Судьба Матрёны Тимофеевны. Образ Савелия.</w:t>
            </w:r>
          </w:p>
        </w:tc>
      </w:tr>
    </w:tbl>
    <w:p w:rsidR="00EB47C3" w:rsidRDefault="00EB47C3" w:rsidP="00EB47C3">
      <w:bookmarkStart w:id="0" w:name="_GoBack"/>
      <w:bookmarkEnd w:id="0"/>
    </w:p>
    <w:p w:rsidR="005A4E06" w:rsidRDefault="005A4E06"/>
    <w:sectPr w:rsidR="005A4E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7C3"/>
    <w:rsid w:val="000553F3"/>
    <w:rsid w:val="000D2569"/>
    <w:rsid w:val="002537B1"/>
    <w:rsid w:val="00327CE1"/>
    <w:rsid w:val="003D69D7"/>
    <w:rsid w:val="0054765D"/>
    <w:rsid w:val="00591F74"/>
    <w:rsid w:val="005A4E06"/>
    <w:rsid w:val="005B7EA9"/>
    <w:rsid w:val="00692B75"/>
    <w:rsid w:val="00727EAA"/>
    <w:rsid w:val="00C831C6"/>
    <w:rsid w:val="00CF053E"/>
    <w:rsid w:val="00EB47C3"/>
    <w:rsid w:val="00F26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7C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EB4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EB4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F053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7C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EB4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EB4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F053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151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547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2019-02-20T09:02:00Z</dcterms:created>
  <dcterms:modified xsi:type="dcterms:W3CDTF">2019-02-20T09:02:00Z</dcterms:modified>
</cp:coreProperties>
</file>